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18" w:rsidRDefault="00D13A18" w:rsidP="006A29F5">
      <w:pPr>
        <w:suppressAutoHyphens/>
        <w:spacing w:after="0" w:line="240" w:lineRule="auto"/>
        <w:jc w:val="center"/>
        <w:rPr>
          <w:rFonts w:ascii="Times New Roman" w:eastAsia="Times New Roman" w:hAnsi="Times New Roman" w:cs="Times New Roman"/>
          <w:b/>
          <w:sz w:val="24"/>
          <w:szCs w:val="24"/>
          <w:lang w:eastAsia="zh-CN"/>
        </w:rPr>
      </w:pPr>
    </w:p>
    <w:p w:rsidR="00041992" w:rsidRPr="00D13A18" w:rsidRDefault="00041992" w:rsidP="006A29F5">
      <w:pPr>
        <w:suppressAutoHyphens/>
        <w:spacing w:after="0" w:line="240" w:lineRule="auto"/>
        <w:jc w:val="center"/>
        <w:rPr>
          <w:rFonts w:ascii="Times New Roman" w:eastAsia="Times New Roman" w:hAnsi="Times New Roman" w:cs="Times New Roman"/>
          <w:sz w:val="24"/>
          <w:szCs w:val="24"/>
          <w:lang w:eastAsia="zh-CN"/>
        </w:rPr>
      </w:pPr>
      <w:r w:rsidRPr="00D13A18">
        <w:rPr>
          <w:rFonts w:ascii="Times New Roman" w:eastAsia="Times New Roman" w:hAnsi="Times New Roman" w:cs="Times New Roman"/>
          <w:b/>
          <w:sz w:val="24"/>
          <w:szCs w:val="24"/>
          <w:lang w:eastAsia="zh-CN"/>
        </w:rPr>
        <w:t>Tlačová správa</w:t>
      </w:r>
    </w:p>
    <w:p w:rsidR="00F074C2" w:rsidRPr="00F074C2" w:rsidRDefault="00F074C2" w:rsidP="00F074C2">
      <w:pPr>
        <w:suppressAutoHyphens/>
        <w:spacing w:after="200" w:line="276" w:lineRule="auto"/>
        <w:rPr>
          <w:rFonts w:ascii="Times New Roman" w:eastAsia="Times New Roman" w:hAnsi="Times New Roman" w:cs="Times New Roman"/>
          <w:b/>
          <w:iCs/>
          <w:color w:val="000000"/>
          <w:sz w:val="28"/>
          <w:szCs w:val="28"/>
          <w:lang w:eastAsia="sk-SK"/>
        </w:rPr>
      </w:pPr>
    </w:p>
    <w:p w:rsidR="00F074C2" w:rsidRPr="00F074C2" w:rsidRDefault="00F074C2" w:rsidP="00F074C2">
      <w:pPr>
        <w:suppressAutoHyphens/>
        <w:spacing w:after="200" w:line="276" w:lineRule="auto"/>
        <w:jc w:val="center"/>
        <w:rPr>
          <w:rFonts w:ascii="Times New Roman" w:eastAsia="Times New Roman" w:hAnsi="Times New Roman" w:cs="Times New Roman"/>
          <w:b/>
          <w:iCs/>
          <w:color w:val="000000"/>
          <w:sz w:val="28"/>
          <w:szCs w:val="28"/>
          <w:lang w:eastAsia="sk-SK"/>
        </w:rPr>
      </w:pPr>
      <w:r w:rsidRPr="00F074C2">
        <w:rPr>
          <w:rFonts w:ascii="Times New Roman" w:eastAsia="Times New Roman" w:hAnsi="Times New Roman" w:cs="Times New Roman"/>
          <w:b/>
          <w:iCs/>
          <w:color w:val="000000"/>
          <w:sz w:val="28"/>
          <w:szCs w:val="28"/>
          <w:lang w:eastAsia="sk-SK"/>
        </w:rPr>
        <w:t>Víťaza národnej súťaže Dedina roka 2021 predstavíme verejnosti počas Slovenského dňa kroja</w:t>
      </w:r>
    </w:p>
    <w:p w:rsidR="00F074C2" w:rsidRDefault="00F074C2" w:rsidP="00F074C2">
      <w:pPr>
        <w:suppressAutoHyphens/>
        <w:spacing w:after="200" w:line="276" w:lineRule="auto"/>
        <w:jc w:val="both"/>
        <w:rPr>
          <w:rFonts w:ascii="Times New Roman" w:eastAsia="Times New Roman" w:hAnsi="Times New Roman" w:cs="Times New Roman"/>
          <w:i/>
          <w:iCs/>
          <w:color w:val="000000"/>
          <w:sz w:val="23"/>
          <w:szCs w:val="23"/>
          <w:lang w:eastAsia="sk-SK"/>
        </w:rPr>
      </w:pPr>
    </w:p>
    <w:p w:rsidR="00F074C2" w:rsidRPr="00F074C2" w:rsidRDefault="00F074C2" w:rsidP="00F074C2">
      <w:pPr>
        <w:suppressAutoHyphens/>
        <w:spacing w:after="200" w:line="276" w:lineRule="auto"/>
        <w:jc w:val="both"/>
        <w:rPr>
          <w:rFonts w:ascii="Times New Roman" w:eastAsia="Times New Roman" w:hAnsi="Times New Roman" w:cs="Times New Roman"/>
          <w:i/>
          <w:iCs/>
          <w:color w:val="000000"/>
          <w:sz w:val="23"/>
          <w:szCs w:val="23"/>
          <w:lang w:eastAsia="sk-SK"/>
        </w:rPr>
      </w:pPr>
      <w:r w:rsidRPr="00F074C2">
        <w:rPr>
          <w:rFonts w:ascii="Times New Roman" w:eastAsia="Times New Roman" w:hAnsi="Times New Roman" w:cs="Times New Roman"/>
          <w:i/>
          <w:iCs/>
          <w:color w:val="000000"/>
          <w:sz w:val="23"/>
          <w:szCs w:val="23"/>
          <w:lang w:eastAsia="sk-SK"/>
        </w:rPr>
        <w:t>Banská Bystrica, 30. august 2021</w:t>
      </w:r>
    </w:p>
    <w:p w:rsidR="00F074C2" w:rsidRDefault="00F074C2" w:rsidP="00F074C2">
      <w:pPr>
        <w:suppressAutoHyphens/>
        <w:spacing w:after="200" w:line="276" w:lineRule="auto"/>
        <w:jc w:val="both"/>
        <w:rPr>
          <w:rFonts w:ascii="Times New Roman" w:eastAsia="Times New Roman" w:hAnsi="Times New Roman" w:cs="Times New Roman"/>
          <w:iCs/>
          <w:color w:val="000000"/>
          <w:sz w:val="23"/>
          <w:szCs w:val="23"/>
          <w:lang w:eastAsia="sk-SK"/>
        </w:rPr>
      </w:pPr>
      <w:r w:rsidRPr="00F074C2">
        <w:rPr>
          <w:rFonts w:ascii="Times New Roman" w:eastAsia="Times New Roman" w:hAnsi="Times New Roman" w:cs="Times New Roman"/>
          <w:iCs/>
          <w:color w:val="000000"/>
          <w:sz w:val="23"/>
          <w:szCs w:val="23"/>
          <w:lang w:eastAsia="sk-SK"/>
        </w:rPr>
        <w:t>Národná súťaž Dedina roka prezentuje úspechy, výnimočnosť slovenskej dediny a tvorivej práce jej predstaviteľov a obyvateľov na rozvoji ich domova. Zdôrazňuje tradície a rozmanitosť kultúry a krajiny vidieckych regiónov, poukazuje na snahu slovenských dedín priblížiť sa obnove obcí na európskej úrovni</w:t>
      </w:r>
      <w:r>
        <w:rPr>
          <w:rFonts w:ascii="Times New Roman" w:eastAsia="Times New Roman" w:hAnsi="Times New Roman" w:cs="Times New Roman"/>
          <w:iCs/>
          <w:color w:val="000000"/>
          <w:sz w:val="23"/>
          <w:szCs w:val="23"/>
          <w:lang w:eastAsia="sk-SK"/>
        </w:rPr>
        <w:t xml:space="preserve">. </w:t>
      </w:r>
      <w:r w:rsidRPr="00F074C2">
        <w:rPr>
          <w:rFonts w:ascii="Times New Roman" w:eastAsia="Times New Roman" w:hAnsi="Times New Roman" w:cs="Times New Roman"/>
          <w:iCs/>
          <w:color w:val="000000"/>
          <w:sz w:val="23"/>
          <w:szCs w:val="23"/>
          <w:lang w:eastAsia="sk-SK"/>
        </w:rPr>
        <w:t xml:space="preserve">Aktuálny 11. ročník, nad ktorým prevzal záštitu minister životného prostredia Ján </w:t>
      </w:r>
      <w:proofErr w:type="spellStart"/>
      <w:r w:rsidRPr="00F074C2">
        <w:rPr>
          <w:rFonts w:ascii="Times New Roman" w:eastAsia="Times New Roman" w:hAnsi="Times New Roman" w:cs="Times New Roman"/>
          <w:iCs/>
          <w:color w:val="000000"/>
          <w:sz w:val="23"/>
          <w:szCs w:val="23"/>
          <w:lang w:eastAsia="sk-SK"/>
        </w:rPr>
        <w:t>Budaj</w:t>
      </w:r>
      <w:proofErr w:type="spellEnd"/>
      <w:r w:rsidRPr="00F074C2">
        <w:rPr>
          <w:rFonts w:ascii="Times New Roman" w:eastAsia="Times New Roman" w:hAnsi="Times New Roman" w:cs="Times New Roman"/>
          <w:iCs/>
          <w:color w:val="000000"/>
          <w:sz w:val="23"/>
          <w:szCs w:val="23"/>
          <w:lang w:eastAsia="sk-SK"/>
        </w:rPr>
        <w:t>,  vyhodnotíme naživo na podujatí Slovenský deň kroja. V stredu, 1. septembra</w:t>
      </w:r>
      <w:r w:rsidRPr="00F933DF">
        <w:rPr>
          <w:rFonts w:ascii="Times New Roman" w:eastAsia="Times New Roman" w:hAnsi="Times New Roman" w:cs="Times New Roman"/>
          <w:iCs/>
          <w:color w:val="000000"/>
          <w:sz w:val="23"/>
          <w:szCs w:val="23"/>
          <w:lang w:eastAsia="sk-SK"/>
        </w:rPr>
        <w:t>, po 17:30 hod</w:t>
      </w:r>
      <w:r w:rsidRPr="00F074C2">
        <w:rPr>
          <w:rFonts w:ascii="Times New Roman" w:eastAsia="Times New Roman" w:hAnsi="Times New Roman" w:cs="Times New Roman"/>
          <w:iCs/>
          <w:color w:val="000000"/>
          <w:sz w:val="23"/>
          <w:szCs w:val="23"/>
          <w:lang w:eastAsia="sk-SK"/>
        </w:rPr>
        <w:t xml:space="preserve"> predstavíme verejnosti víťaza a</w:t>
      </w:r>
      <w:r>
        <w:rPr>
          <w:rFonts w:ascii="Times New Roman" w:eastAsia="Times New Roman" w:hAnsi="Times New Roman" w:cs="Times New Roman"/>
          <w:iCs/>
          <w:color w:val="000000"/>
          <w:sz w:val="23"/>
          <w:szCs w:val="23"/>
          <w:lang w:eastAsia="sk-SK"/>
        </w:rPr>
        <w:t> ďalšie ocenené obce.</w:t>
      </w:r>
      <w:r>
        <w:rPr>
          <w:rFonts w:ascii="Times New Roman" w:eastAsia="Times New Roman" w:hAnsi="Times New Roman" w:cs="Times New Roman"/>
          <w:iCs/>
          <w:color w:val="000000"/>
          <w:sz w:val="23"/>
          <w:szCs w:val="23"/>
          <w:lang w:eastAsia="sk-SK"/>
        </w:rPr>
        <w:tab/>
      </w:r>
      <w:r>
        <w:rPr>
          <w:rFonts w:ascii="Times New Roman" w:eastAsia="Times New Roman" w:hAnsi="Times New Roman" w:cs="Times New Roman"/>
          <w:iCs/>
          <w:color w:val="000000"/>
          <w:sz w:val="23"/>
          <w:szCs w:val="23"/>
          <w:lang w:eastAsia="sk-SK"/>
        </w:rPr>
        <w:tab/>
      </w:r>
      <w:r>
        <w:rPr>
          <w:rFonts w:ascii="Times New Roman" w:eastAsia="Times New Roman" w:hAnsi="Times New Roman" w:cs="Times New Roman"/>
          <w:iCs/>
          <w:color w:val="000000"/>
          <w:sz w:val="23"/>
          <w:szCs w:val="23"/>
          <w:lang w:eastAsia="sk-SK"/>
        </w:rPr>
        <w:tab/>
      </w:r>
      <w:r>
        <w:rPr>
          <w:rFonts w:ascii="Times New Roman" w:eastAsia="Times New Roman" w:hAnsi="Times New Roman" w:cs="Times New Roman"/>
          <w:iCs/>
          <w:color w:val="000000"/>
          <w:sz w:val="23"/>
          <w:szCs w:val="23"/>
          <w:lang w:eastAsia="sk-SK"/>
        </w:rPr>
        <w:tab/>
      </w:r>
      <w:r>
        <w:rPr>
          <w:rFonts w:ascii="Times New Roman" w:eastAsia="Times New Roman" w:hAnsi="Times New Roman" w:cs="Times New Roman"/>
          <w:iCs/>
          <w:color w:val="000000"/>
          <w:sz w:val="23"/>
          <w:szCs w:val="23"/>
          <w:lang w:eastAsia="sk-SK"/>
        </w:rPr>
        <w:tab/>
      </w:r>
      <w:r>
        <w:rPr>
          <w:rFonts w:ascii="Times New Roman" w:eastAsia="Times New Roman" w:hAnsi="Times New Roman" w:cs="Times New Roman"/>
          <w:iCs/>
          <w:color w:val="000000"/>
          <w:sz w:val="23"/>
          <w:szCs w:val="23"/>
          <w:lang w:eastAsia="sk-SK"/>
        </w:rPr>
        <w:tab/>
      </w:r>
      <w:r>
        <w:rPr>
          <w:rFonts w:ascii="Times New Roman" w:eastAsia="Times New Roman" w:hAnsi="Times New Roman" w:cs="Times New Roman"/>
          <w:iCs/>
          <w:color w:val="000000"/>
          <w:sz w:val="23"/>
          <w:szCs w:val="23"/>
          <w:lang w:eastAsia="sk-SK"/>
        </w:rPr>
        <w:tab/>
      </w:r>
    </w:p>
    <w:p w:rsidR="00F074C2" w:rsidRDefault="00F074C2" w:rsidP="00F074C2">
      <w:pPr>
        <w:suppressAutoHyphens/>
        <w:spacing w:after="200" w:line="276" w:lineRule="auto"/>
        <w:jc w:val="both"/>
        <w:rPr>
          <w:rFonts w:ascii="Times New Roman" w:eastAsia="Times New Roman" w:hAnsi="Times New Roman" w:cs="Times New Roman"/>
          <w:iCs/>
          <w:color w:val="000000"/>
          <w:sz w:val="23"/>
          <w:szCs w:val="23"/>
          <w:lang w:eastAsia="sk-SK"/>
        </w:rPr>
      </w:pPr>
      <w:r w:rsidRPr="00F074C2">
        <w:rPr>
          <w:rFonts w:ascii="Times New Roman" w:eastAsia="Times New Roman" w:hAnsi="Times New Roman" w:cs="Times New Roman"/>
          <w:iCs/>
          <w:color w:val="000000"/>
          <w:sz w:val="23"/>
          <w:szCs w:val="23"/>
          <w:lang w:eastAsia="sk-SK"/>
        </w:rPr>
        <w:t xml:space="preserve">Tento ročník je prelomovým vo viac ako celej dvadsaťročnej histórii súťaže. Priniesol viacero organizačných noviniek a o víťazstvo prejavilo záujem pôvodne až 29 slovenských obcí zo siedmich krajov Slovenska, čo je najviac v histórii súťaže. Tesne po ukončení prihlasovania sa však jedna obec zo súťaže odhlásila. O ocenenie sa nakoniec uchádzalo týchto 28 slovenských obcí: </w:t>
      </w:r>
      <w:r w:rsidRPr="00F074C2">
        <w:rPr>
          <w:rFonts w:ascii="Times New Roman" w:eastAsia="Times New Roman" w:hAnsi="Times New Roman" w:cs="Times New Roman"/>
          <w:b/>
          <w:bCs/>
          <w:iCs/>
          <w:color w:val="000000"/>
          <w:sz w:val="23"/>
          <w:szCs w:val="23"/>
          <w:lang w:eastAsia="sk-SK"/>
        </w:rPr>
        <w:t>Beckov, Blatnica, Budkovce, Buzica, Cigeľ, Dlhé Klčovo, Haláčovce, Halič, Hertník, Kapušany, Kladzany, Kláštor pod Znievom, Kocurany, Kolíňany, Lom nad Rimavicou, Ľubeľa, Lúčka (okres Svidník), Priepasné, Pukanec, Radava, Sedliská, Štiavnické Bane, Stebník, Šumiac, Tuhár, Veľaty, Veľké Chlievany a Vinosady.</w:t>
      </w:r>
      <w:r w:rsidRPr="00F074C2">
        <w:rPr>
          <w:rFonts w:ascii="Times New Roman" w:eastAsia="Times New Roman" w:hAnsi="Times New Roman" w:cs="Times New Roman"/>
          <w:iCs/>
          <w:color w:val="000000"/>
          <w:sz w:val="23"/>
          <w:szCs w:val="23"/>
          <w:lang w:eastAsia="sk-SK"/>
        </w:rPr>
        <w:tab/>
      </w:r>
      <w:r w:rsidRPr="00F074C2">
        <w:rPr>
          <w:rFonts w:ascii="Times New Roman" w:eastAsia="Times New Roman" w:hAnsi="Times New Roman" w:cs="Times New Roman"/>
          <w:iCs/>
          <w:color w:val="000000"/>
          <w:sz w:val="23"/>
          <w:szCs w:val="23"/>
          <w:lang w:eastAsia="sk-SK"/>
        </w:rPr>
        <w:tab/>
      </w:r>
      <w:r w:rsidRPr="00F074C2">
        <w:rPr>
          <w:rFonts w:ascii="Times New Roman" w:eastAsia="Times New Roman" w:hAnsi="Times New Roman" w:cs="Times New Roman"/>
          <w:iCs/>
          <w:color w:val="000000"/>
          <w:sz w:val="23"/>
          <w:szCs w:val="23"/>
          <w:lang w:eastAsia="sk-SK"/>
        </w:rPr>
        <w:tab/>
      </w:r>
      <w:r w:rsidRPr="00F074C2">
        <w:rPr>
          <w:rFonts w:ascii="Times New Roman" w:eastAsia="Times New Roman" w:hAnsi="Times New Roman" w:cs="Times New Roman"/>
          <w:iCs/>
          <w:color w:val="000000"/>
          <w:sz w:val="23"/>
          <w:szCs w:val="23"/>
          <w:lang w:eastAsia="sk-SK"/>
        </w:rPr>
        <w:tab/>
      </w:r>
    </w:p>
    <w:p w:rsidR="00F074C2" w:rsidRDefault="00F074C2" w:rsidP="00F074C2">
      <w:pPr>
        <w:suppressAutoHyphens/>
        <w:spacing w:after="200" w:line="276" w:lineRule="auto"/>
        <w:jc w:val="both"/>
        <w:rPr>
          <w:rFonts w:ascii="Times New Roman" w:eastAsia="Times New Roman" w:hAnsi="Times New Roman" w:cs="Times New Roman"/>
          <w:bCs/>
          <w:iCs/>
          <w:color w:val="000000"/>
          <w:sz w:val="23"/>
          <w:szCs w:val="23"/>
          <w:lang w:eastAsia="sk-SK"/>
        </w:rPr>
      </w:pPr>
      <w:r w:rsidRPr="00F074C2">
        <w:rPr>
          <w:rFonts w:ascii="Times New Roman" w:eastAsia="Times New Roman" w:hAnsi="Times New Roman" w:cs="Times New Roman"/>
          <w:bCs/>
          <w:iCs/>
          <w:color w:val="000000"/>
          <w:sz w:val="23"/>
          <w:szCs w:val="23"/>
          <w:lang w:eastAsia="sk-SK"/>
        </w:rPr>
        <w:t>Národná hodnotiaca komisia prihliadala pri hodnotení obcí na komplexnosť ich rozvoja, najmä na ich hospodárenie, programovanie a plánovanie, vytváranie podmienok pre rozvoj podnikania, racionálne využívanie prírodných zdrojov, vzhľad obcí, starostlivosť o hmotné aj nehmotné dedičstvo, schopnosť vytvárania partnerstiev, využitie možností cestovného ruchu, atraktivít, ale aj na aktivity starostlivosti o životné</w:t>
      </w:r>
      <w:r>
        <w:rPr>
          <w:rFonts w:ascii="Times New Roman" w:eastAsia="Times New Roman" w:hAnsi="Times New Roman" w:cs="Times New Roman"/>
          <w:bCs/>
          <w:iCs/>
          <w:color w:val="000000"/>
          <w:sz w:val="23"/>
          <w:szCs w:val="23"/>
          <w:lang w:eastAsia="sk-SK"/>
        </w:rPr>
        <w:t xml:space="preserve"> prostredie a krajinu.</w:t>
      </w:r>
      <w:r>
        <w:rPr>
          <w:rFonts w:ascii="Times New Roman" w:eastAsia="Times New Roman" w:hAnsi="Times New Roman" w:cs="Times New Roman"/>
          <w:bCs/>
          <w:iCs/>
          <w:color w:val="000000"/>
          <w:sz w:val="23"/>
          <w:szCs w:val="23"/>
          <w:lang w:eastAsia="sk-SK"/>
        </w:rPr>
        <w:tab/>
      </w:r>
      <w:r>
        <w:rPr>
          <w:rFonts w:ascii="Times New Roman" w:eastAsia="Times New Roman" w:hAnsi="Times New Roman" w:cs="Times New Roman"/>
          <w:bCs/>
          <w:iCs/>
          <w:color w:val="000000"/>
          <w:sz w:val="23"/>
          <w:szCs w:val="23"/>
          <w:lang w:eastAsia="sk-SK"/>
        </w:rPr>
        <w:tab/>
      </w:r>
      <w:r>
        <w:rPr>
          <w:rFonts w:ascii="Times New Roman" w:eastAsia="Times New Roman" w:hAnsi="Times New Roman" w:cs="Times New Roman"/>
          <w:bCs/>
          <w:iCs/>
          <w:color w:val="000000"/>
          <w:sz w:val="23"/>
          <w:szCs w:val="23"/>
          <w:lang w:eastAsia="sk-SK"/>
        </w:rPr>
        <w:tab/>
      </w:r>
      <w:r>
        <w:rPr>
          <w:rFonts w:ascii="Times New Roman" w:eastAsia="Times New Roman" w:hAnsi="Times New Roman" w:cs="Times New Roman"/>
          <w:bCs/>
          <w:iCs/>
          <w:color w:val="000000"/>
          <w:sz w:val="23"/>
          <w:szCs w:val="23"/>
          <w:lang w:eastAsia="sk-SK"/>
        </w:rPr>
        <w:tab/>
      </w:r>
      <w:r>
        <w:rPr>
          <w:rFonts w:ascii="Times New Roman" w:eastAsia="Times New Roman" w:hAnsi="Times New Roman" w:cs="Times New Roman"/>
          <w:bCs/>
          <w:iCs/>
          <w:color w:val="000000"/>
          <w:sz w:val="23"/>
          <w:szCs w:val="23"/>
          <w:lang w:eastAsia="sk-SK"/>
        </w:rPr>
        <w:tab/>
      </w:r>
      <w:r>
        <w:rPr>
          <w:rFonts w:ascii="Times New Roman" w:eastAsia="Times New Roman" w:hAnsi="Times New Roman" w:cs="Times New Roman"/>
          <w:bCs/>
          <w:iCs/>
          <w:color w:val="000000"/>
          <w:sz w:val="23"/>
          <w:szCs w:val="23"/>
          <w:lang w:eastAsia="sk-SK"/>
        </w:rPr>
        <w:tab/>
      </w:r>
      <w:r>
        <w:rPr>
          <w:rFonts w:ascii="Times New Roman" w:eastAsia="Times New Roman" w:hAnsi="Times New Roman" w:cs="Times New Roman"/>
          <w:bCs/>
          <w:iCs/>
          <w:color w:val="000000"/>
          <w:sz w:val="23"/>
          <w:szCs w:val="23"/>
          <w:lang w:eastAsia="sk-SK"/>
        </w:rPr>
        <w:tab/>
      </w:r>
      <w:r>
        <w:rPr>
          <w:rFonts w:ascii="Times New Roman" w:eastAsia="Times New Roman" w:hAnsi="Times New Roman" w:cs="Times New Roman"/>
          <w:bCs/>
          <w:iCs/>
          <w:color w:val="000000"/>
          <w:sz w:val="23"/>
          <w:szCs w:val="23"/>
          <w:lang w:eastAsia="sk-SK"/>
        </w:rPr>
        <w:tab/>
      </w:r>
      <w:r>
        <w:rPr>
          <w:rFonts w:ascii="Times New Roman" w:eastAsia="Times New Roman" w:hAnsi="Times New Roman" w:cs="Times New Roman"/>
          <w:bCs/>
          <w:iCs/>
          <w:color w:val="000000"/>
          <w:sz w:val="23"/>
          <w:szCs w:val="23"/>
          <w:lang w:eastAsia="sk-SK"/>
        </w:rPr>
        <w:tab/>
      </w:r>
    </w:p>
    <w:p w:rsidR="00F074C2" w:rsidRPr="00F074C2" w:rsidRDefault="00F074C2" w:rsidP="00F074C2">
      <w:pPr>
        <w:suppressAutoHyphens/>
        <w:spacing w:after="200" w:line="276" w:lineRule="auto"/>
        <w:jc w:val="both"/>
        <w:rPr>
          <w:rFonts w:ascii="Times New Roman" w:eastAsia="Times New Roman" w:hAnsi="Times New Roman" w:cs="Times New Roman"/>
          <w:iCs/>
          <w:color w:val="000000"/>
          <w:sz w:val="23"/>
          <w:szCs w:val="23"/>
          <w:lang w:eastAsia="sk-SK"/>
        </w:rPr>
      </w:pPr>
      <w:r w:rsidRPr="00F074C2">
        <w:rPr>
          <w:rFonts w:ascii="Times New Roman" w:eastAsia="Times New Roman" w:hAnsi="Times New Roman" w:cs="Times New Roman"/>
          <w:bCs/>
          <w:iCs/>
          <w:color w:val="000000"/>
          <w:sz w:val="23"/>
          <w:szCs w:val="23"/>
          <w:lang w:eastAsia="sk-SK"/>
        </w:rPr>
        <w:t>Okrem víťaza titulu Dedina roka predstavíme aj ďalšie ocenené obce v jednotlivých oblastiach hodnotenia: Dedina ako hospodár, Dedina ako maľovaná, Dedina ako klenotnica Dedina ako pospolitosť, Dedina ako partner, Dedina ako hostiteľ a D</w:t>
      </w:r>
      <w:r>
        <w:rPr>
          <w:rFonts w:ascii="Times New Roman" w:eastAsia="Times New Roman" w:hAnsi="Times New Roman" w:cs="Times New Roman"/>
          <w:bCs/>
          <w:iCs/>
          <w:color w:val="000000"/>
          <w:sz w:val="23"/>
          <w:szCs w:val="23"/>
          <w:lang w:eastAsia="sk-SK"/>
        </w:rPr>
        <w:t>edina ako záhrada. Udelené budú aj mimoriadne ocenenia.</w:t>
      </w:r>
    </w:p>
    <w:p w:rsidR="00F074C2" w:rsidRDefault="00F074C2" w:rsidP="00F074C2">
      <w:pPr>
        <w:suppressAutoHyphens/>
        <w:spacing w:after="200" w:line="276" w:lineRule="auto"/>
        <w:jc w:val="both"/>
        <w:rPr>
          <w:rFonts w:ascii="Times New Roman" w:eastAsia="Times New Roman" w:hAnsi="Times New Roman" w:cs="Times New Roman"/>
          <w:b/>
          <w:bCs/>
          <w:iCs/>
          <w:color w:val="000000"/>
          <w:sz w:val="23"/>
          <w:szCs w:val="23"/>
          <w:lang w:eastAsia="sk-SK"/>
        </w:rPr>
      </w:pPr>
    </w:p>
    <w:p w:rsidR="00F074C2" w:rsidRDefault="00F074C2" w:rsidP="00F074C2">
      <w:pPr>
        <w:suppressAutoHyphens/>
        <w:spacing w:after="200" w:line="276" w:lineRule="auto"/>
        <w:jc w:val="both"/>
        <w:rPr>
          <w:rFonts w:ascii="Times New Roman" w:eastAsia="Times New Roman" w:hAnsi="Times New Roman" w:cs="Times New Roman"/>
          <w:bCs/>
          <w:i/>
          <w:iCs/>
          <w:color w:val="000000"/>
          <w:sz w:val="23"/>
          <w:szCs w:val="23"/>
          <w:lang w:eastAsia="sk-SK"/>
        </w:rPr>
      </w:pPr>
      <w:r w:rsidRPr="00F074C2">
        <w:rPr>
          <w:rFonts w:ascii="Times New Roman" w:eastAsia="Times New Roman" w:hAnsi="Times New Roman" w:cs="Times New Roman"/>
          <w:bCs/>
          <w:i/>
          <w:iCs/>
          <w:color w:val="000000"/>
          <w:sz w:val="23"/>
          <w:szCs w:val="23"/>
          <w:lang w:eastAsia="sk-SK"/>
        </w:rPr>
        <w:t xml:space="preserve">Ďalšie informácie sú zverejnené na webovej stránke </w:t>
      </w:r>
      <w:hyperlink r:id="rId6" w:history="1">
        <w:r w:rsidRPr="0001281D">
          <w:rPr>
            <w:rStyle w:val="Hypertextovprepojenie"/>
            <w:rFonts w:ascii="Times New Roman" w:eastAsia="Times New Roman" w:hAnsi="Times New Roman" w:cs="Times New Roman"/>
            <w:bCs/>
            <w:i/>
            <w:iCs/>
            <w:sz w:val="23"/>
            <w:szCs w:val="23"/>
            <w:lang w:eastAsia="sk-SK"/>
          </w:rPr>
          <w:t>www.dedinaroka.sk</w:t>
        </w:r>
      </w:hyperlink>
      <w:r>
        <w:rPr>
          <w:rFonts w:ascii="Times New Roman" w:eastAsia="Times New Roman" w:hAnsi="Times New Roman" w:cs="Times New Roman"/>
          <w:bCs/>
          <w:i/>
          <w:iCs/>
          <w:color w:val="000000"/>
          <w:sz w:val="23"/>
          <w:szCs w:val="23"/>
          <w:lang w:eastAsia="sk-SK"/>
        </w:rPr>
        <w:t xml:space="preserve"> a </w:t>
      </w:r>
      <w:hyperlink r:id="rId7" w:history="1">
        <w:r w:rsidRPr="0001281D">
          <w:rPr>
            <w:rStyle w:val="Hypertextovprepojenie"/>
            <w:rFonts w:ascii="Times New Roman" w:eastAsia="Times New Roman" w:hAnsi="Times New Roman" w:cs="Times New Roman"/>
            <w:bCs/>
            <w:i/>
            <w:iCs/>
            <w:sz w:val="23"/>
            <w:szCs w:val="23"/>
            <w:lang w:eastAsia="sk-SK"/>
          </w:rPr>
          <w:t>www.sazp.sk</w:t>
        </w:r>
      </w:hyperlink>
      <w:r>
        <w:rPr>
          <w:rFonts w:ascii="Times New Roman" w:eastAsia="Times New Roman" w:hAnsi="Times New Roman" w:cs="Times New Roman"/>
          <w:bCs/>
          <w:i/>
          <w:iCs/>
          <w:color w:val="000000"/>
          <w:sz w:val="23"/>
          <w:szCs w:val="23"/>
          <w:lang w:eastAsia="sk-SK"/>
        </w:rPr>
        <w:t>.</w:t>
      </w:r>
    </w:p>
    <w:sectPr w:rsidR="00F074C2" w:rsidSect="009864DF">
      <w:headerReference w:type="default" r:id="rId8"/>
      <w:footerReference w:type="default" r:id="rId9"/>
      <w:pgSz w:w="11906" w:h="16838"/>
      <w:pgMar w:top="2694" w:right="991" w:bottom="2269" w:left="1417" w:header="708"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47" w:rsidRDefault="004E5B47" w:rsidP="0040504C">
      <w:pPr>
        <w:spacing w:after="0" w:line="240" w:lineRule="auto"/>
      </w:pPr>
      <w:r>
        <w:separator/>
      </w:r>
    </w:p>
  </w:endnote>
  <w:endnote w:type="continuationSeparator" w:id="0">
    <w:p w:rsidR="004E5B47" w:rsidRDefault="004E5B47" w:rsidP="0040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24" w:rsidRDefault="00F57924">
    <w:pPr>
      <w:pStyle w:val="Pta"/>
    </w:pPr>
    <w:r>
      <w:rPr>
        <w:noProof/>
        <w:lang w:eastAsia="sk-SK"/>
      </w:rPr>
      <w:drawing>
        <wp:anchor distT="0" distB="0" distL="114300" distR="114300" simplePos="0" relativeHeight="251659264" behindDoc="1" locked="0" layoutInCell="1" allowOverlap="1">
          <wp:simplePos x="0" y="0"/>
          <wp:positionH relativeFrom="column">
            <wp:posOffset>-156845</wp:posOffset>
          </wp:positionH>
          <wp:positionV relativeFrom="paragraph">
            <wp:posOffset>100965</wp:posOffset>
          </wp:positionV>
          <wp:extent cx="6031230" cy="1033388"/>
          <wp:effectExtent l="0" t="0" r="762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 t="-52" r="-8" b="-52"/>
                  <a:stretch>
                    <a:fillRect/>
                  </a:stretch>
                </pic:blipFill>
                <pic:spPr bwMode="auto">
                  <a:xfrm>
                    <a:off x="0" y="0"/>
                    <a:ext cx="6031230" cy="103338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47" w:rsidRDefault="004E5B47" w:rsidP="0040504C">
      <w:pPr>
        <w:spacing w:after="0" w:line="240" w:lineRule="auto"/>
      </w:pPr>
      <w:r>
        <w:separator/>
      </w:r>
    </w:p>
  </w:footnote>
  <w:footnote w:type="continuationSeparator" w:id="0">
    <w:p w:rsidR="004E5B47" w:rsidRDefault="004E5B47" w:rsidP="00405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4C" w:rsidRDefault="0040504C" w:rsidP="0040504C">
    <w:pPr>
      <w:pStyle w:val="Hlavika"/>
      <w:ind w:left="1843"/>
    </w:pPr>
    <w:r>
      <w:rPr>
        <w:noProof/>
        <w:lang w:eastAsia="sk-SK"/>
      </w:rPr>
      <w:drawing>
        <wp:anchor distT="0" distB="0" distL="114300" distR="114300" simplePos="0" relativeHeight="251658240" behindDoc="1" locked="0" layoutInCell="1" allowOverlap="1">
          <wp:simplePos x="0" y="0"/>
          <wp:positionH relativeFrom="column">
            <wp:posOffset>-337820</wp:posOffset>
          </wp:positionH>
          <wp:positionV relativeFrom="paragraph">
            <wp:posOffset>-106680</wp:posOffset>
          </wp:positionV>
          <wp:extent cx="1139755" cy="952500"/>
          <wp:effectExtent l="0" t="0" r="381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755" cy="952500"/>
                  </a:xfrm>
                  <a:prstGeom prst="rect">
                    <a:avLst/>
                  </a:prstGeom>
                </pic:spPr>
              </pic:pic>
            </a:graphicData>
          </a:graphic>
          <wp14:sizeRelH relativeFrom="page">
            <wp14:pctWidth>0</wp14:pctWidth>
          </wp14:sizeRelH>
          <wp14:sizeRelV relativeFrom="page">
            <wp14:pctHeight>0</wp14:pctHeight>
          </wp14:sizeRelV>
        </wp:anchor>
      </w:drawing>
    </w:r>
    <w:r>
      <w:tab/>
    </w:r>
  </w:p>
  <w:p w:rsidR="0040504C" w:rsidRDefault="0040504C" w:rsidP="0040504C">
    <w:pPr>
      <w:pStyle w:val="Hlavika"/>
      <w:ind w:left="1843"/>
    </w:pPr>
  </w:p>
  <w:p w:rsidR="0040504C" w:rsidRDefault="0040504C" w:rsidP="0040504C">
    <w:pPr>
      <w:pStyle w:val="Hlavika"/>
      <w:ind w:left="1985"/>
    </w:pPr>
    <w:r w:rsidRPr="0040504C">
      <w:t>Slovenská agentúra životného prostredia • Sekcia environmentalistiky</w:t>
    </w:r>
    <w:r w:rsidRPr="0040504C">
      <w:cr/>
      <w:t xml:space="preserve">Tajovského 28, 975 90 Banská Bystrica </w:t>
    </w:r>
    <w:r w:rsidR="00F074C2">
      <w:t>• tel. +421 48 43 74 254</w:t>
    </w:r>
    <w:r>
      <w:t xml:space="preserve"> </w:t>
    </w:r>
    <w:r>
      <w:br/>
    </w:r>
    <w:r w:rsidRPr="0040504C">
      <w:t xml:space="preserve">sdrinfo@sazp.sk • www.dedinaroka.sk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4C"/>
    <w:rsid w:val="00041992"/>
    <w:rsid w:val="001900D8"/>
    <w:rsid w:val="001942F9"/>
    <w:rsid w:val="00214119"/>
    <w:rsid w:val="00285F7F"/>
    <w:rsid w:val="002D49AD"/>
    <w:rsid w:val="0036654F"/>
    <w:rsid w:val="0040504C"/>
    <w:rsid w:val="00424485"/>
    <w:rsid w:val="004E5B47"/>
    <w:rsid w:val="005230E6"/>
    <w:rsid w:val="005A5B04"/>
    <w:rsid w:val="005C5C2C"/>
    <w:rsid w:val="00633089"/>
    <w:rsid w:val="00661C3A"/>
    <w:rsid w:val="0068435A"/>
    <w:rsid w:val="006A29F5"/>
    <w:rsid w:val="006F03D4"/>
    <w:rsid w:val="007703D0"/>
    <w:rsid w:val="00792655"/>
    <w:rsid w:val="007A274E"/>
    <w:rsid w:val="008C4C7D"/>
    <w:rsid w:val="00924D2D"/>
    <w:rsid w:val="009864DF"/>
    <w:rsid w:val="00A42F8A"/>
    <w:rsid w:val="00C332C7"/>
    <w:rsid w:val="00C4140C"/>
    <w:rsid w:val="00C73756"/>
    <w:rsid w:val="00CC06F9"/>
    <w:rsid w:val="00D06A71"/>
    <w:rsid w:val="00D13A18"/>
    <w:rsid w:val="00D13A1F"/>
    <w:rsid w:val="00D46AD5"/>
    <w:rsid w:val="00E57E66"/>
    <w:rsid w:val="00E6772D"/>
    <w:rsid w:val="00EC1D66"/>
    <w:rsid w:val="00F074C2"/>
    <w:rsid w:val="00F57924"/>
    <w:rsid w:val="00F933DF"/>
    <w:rsid w:val="00FE1D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077E84-F90E-4EFD-80FA-F71BB934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l1">
    <w:name w:val="Štýl1"/>
    <w:basedOn w:val="Normlnatabuka"/>
    <w:uiPriority w:val="99"/>
    <w:rsid w:val="008C4C7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V w:val="single" w:sz="4" w:space="0" w:color="D9D9D9" w:themeColor="background1" w:themeShade="D9"/>
      </w:tblBorders>
    </w:tblPr>
    <w:trPr>
      <w:cantSplit/>
    </w:trPr>
    <w:tcPr>
      <w:shd w:val="clear" w:color="auto" w:fill="auto"/>
    </w:tcPr>
    <w:tblStylePr w:type="firstRow">
      <w:rPr>
        <w:b/>
      </w:rPr>
      <w:tblPr/>
      <w:tcPr>
        <w:tcBorders>
          <w:top w:val="single" w:sz="12" w:space="0" w:color="5B9BD5" w:themeColor="accent1"/>
          <w:left w:val="nil"/>
          <w:bottom w:val="single" w:sz="12" w:space="0" w:color="5B9BD5" w:themeColor="accent1"/>
          <w:right w:val="nil"/>
          <w:insideH w:val="nil"/>
          <w:insideV w:val="nil"/>
          <w:tl2br w:val="nil"/>
          <w:tr2bl w:val="nil"/>
        </w:tcBorders>
        <w:shd w:val="clear" w:color="auto" w:fill="DEEAF6" w:themeFill="accent1" w:themeFillTint="33"/>
      </w:tcPr>
    </w:tblStylePr>
  </w:style>
  <w:style w:type="paragraph" w:styleId="Hlavika">
    <w:name w:val="header"/>
    <w:basedOn w:val="Normlny"/>
    <w:link w:val="HlavikaChar"/>
    <w:uiPriority w:val="99"/>
    <w:unhideWhenUsed/>
    <w:rsid w:val="004050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04C"/>
  </w:style>
  <w:style w:type="paragraph" w:styleId="Pta">
    <w:name w:val="footer"/>
    <w:basedOn w:val="Normlny"/>
    <w:link w:val="PtaChar"/>
    <w:uiPriority w:val="99"/>
    <w:unhideWhenUsed/>
    <w:rsid w:val="0040504C"/>
    <w:pPr>
      <w:tabs>
        <w:tab w:val="center" w:pos="4536"/>
        <w:tab w:val="right" w:pos="9072"/>
      </w:tabs>
      <w:spacing w:after="0" w:line="240" w:lineRule="auto"/>
    </w:pPr>
  </w:style>
  <w:style w:type="character" w:customStyle="1" w:styleId="PtaChar">
    <w:name w:val="Päta Char"/>
    <w:basedOn w:val="Predvolenpsmoodseku"/>
    <w:link w:val="Pta"/>
    <w:uiPriority w:val="99"/>
    <w:rsid w:val="0040504C"/>
  </w:style>
  <w:style w:type="character" w:styleId="Hypertextovprepojenie">
    <w:name w:val="Hyperlink"/>
    <w:rsid w:val="001900D8"/>
    <w:rPr>
      <w:color w:val="0000FF"/>
      <w:u w:val="single"/>
    </w:rPr>
  </w:style>
  <w:style w:type="paragraph" w:customStyle="1" w:styleId="CharChar">
    <w:name w:val="Char Char"/>
    <w:basedOn w:val="Normlny"/>
    <w:rsid w:val="00D46AD5"/>
    <w:pPr>
      <w:widowControl w:val="0"/>
      <w:adjustRightInd w:val="0"/>
      <w:spacing w:after="0" w:line="360" w:lineRule="atLeast"/>
      <w:jc w:val="both"/>
      <w:textAlignment w:val="baseline"/>
    </w:pPr>
    <w:rPr>
      <w:rFonts w:ascii="Arial Narrow" w:eastAsia="Times New Roman" w:hAnsi="Arial Narrow" w:cs="Arial Narrow"/>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azp.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dinaroka.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Hupian</dc:creator>
  <cp:keywords/>
  <dc:description/>
  <cp:lastModifiedBy>Michaela Štefániková</cp:lastModifiedBy>
  <cp:revision>2</cp:revision>
  <dcterms:created xsi:type="dcterms:W3CDTF">2021-08-23T12:04:00Z</dcterms:created>
  <dcterms:modified xsi:type="dcterms:W3CDTF">2021-08-23T12:04:00Z</dcterms:modified>
</cp:coreProperties>
</file>